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12" w:rsidRDefault="00FC2712" w:rsidP="00FC2712">
      <w:pPr>
        <w:spacing w:after="0" w:line="240" w:lineRule="auto"/>
        <w:jc w:val="center"/>
        <w:outlineLvl w:val="0"/>
        <w:rPr>
          <w:rFonts w:ascii="Times New Roman" w:eastAsia="Times New Roman" w:hAnsi="Times New Roman" w:cs="Times New Roman"/>
          <w:b/>
          <w:bCs/>
          <w:color w:val="000000"/>
          <w:kern w:val="36"/>
          <w:sz w:val="24"/>
          <w:szCs w:val="24"/>
        </w:rPr>
      </w:pPr>
      <w:bookmarkStart w:id="0" w:name="_GoBack"/>
      <w:bookmarkEnd w:id="0"/>
      <w:r>
        <w:rPr>
          <w:noProof/>
        </w:rPr>
        <w:drawing>
          <wp:inline distT="0" distB="0" distL="0" distR="0" wp14:anchorId="28C41913" wp14:editId="0602AEA5">
            <wp:extent cx="2104164"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gif"/>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0341" cy="1304360"/>
                    </a:xfrm>
                    <a:prstGeom prst="rect">
                      <a:avLst/>
                    </a:prstGeom>
                  </pic:spPr>
                </pic:pic>
              </a:graphicData>
            </a:graphic>
          </wp:inline>
        </w:drawing>
      </w:r>
    </w:p>
    <w:p w:rsidR="00FC2712" w:rsidRDefault="00FC2712" w:rsidP="00137AE4">
      <w:pPr>
        <w:spacing w:after="0" w:line="240" w:lineRule="auto"/>
        <w:jc w:val="both"/>
        <w:outlineLvl w:val="0"/>
        <w:rPr>
          <w:rFonts w:ascii="Times New Roman" w:eastAsia="Times New Roman" w:hAnsi="Times New Roman" w:cs="Times New Roman"/>
          <w:b/>
          <w:bCs/>
          <w:color w:val="000000"/>
          <w:kern w:val="36"/>
          <w:sz w:val="24"/>
          <w:szCs w:val="24"/>
        </w:rPr>
      </w:pPr>
    </w:p>
    <w:p w:rsidR="00137AE4" w:rsidRPr="00137AE4" w:rsidRDefault="00137AE4" w:rsidP="00137AE4">
      <w:pPr>
        <w:spacing w:after="0" w:line="240" w:lineRule="auto"/>
        <w:jc w:val="both"/>
        <w:outlineLvl w:val="0"/>
        <w:rPr>
          <w:rFonts w:ascii="Times New Roman" w:eastAsia="Times New Roman" w:hAnsi="Times New Roman" w:cs="Times New Roman"/>
          <w:b/>
          <w:bCs/>
          <w:kern w:val="36"/>
          <w:sz w:val="48"/>
          <w:szCs w:val="48"/>
        </w:rPr>
      </w:pPr>
      <w:r w:rsidRPr="00137AE4">
        <w:rPr>
          <w:rFonts w:ascii="Times New Roman" w:eastAsia="Times New Roman" w:hAnsi="Times New Roman" w:cs="Times New Roman"/>
          <w:b/>
          <w:bCs/>
          <w:color w:val="000000"/>
          <w:kern w:val="36"/>
          <w:sz w:val="24"/>
          <w:szCs w:val="24"/>
        </w:rPr>
        <w:t xml:space="preserve">MANDATORY REPORTER </w:t>
      </w:r>
    </w:p>
    <w:p w:rsidR="00137AE4" w:rsidRPr="00137AE4" w:rsidRDefault="00137AE4" w:rsidP="00137AE4">
      <w:pPr>
        <w:spacing w:after="0" w:line="240" w:lineRule="auto"/>
        <w:jc w:val="both"/>
        <w:rPr>
          <w:rFonts w:ascii="Times New Roman" w:eastAsia="Times New Roman" w:hAnsi="Times New Roman" w:cs="Times New Roman"/>
          <w:sz w:val="24"/>
          <w:szCs w:val="24"/>
        </w:rPr>
      </w:pPr>
    </w:p>
    <w:p w:rsidR="00137AE4" w:rsidRPr="00137AE4" w:rsidRDefault="00137AE4" w:rsidP="00137AE4">
      <w:pPr>
        <w:spacing w:before="240" w:after="0" w:line="240" w:lineRule="auto"/>
        <w:rPr>
          <w:rFonts w:ascii="Times New Roman" w:eastAsia="Times New Roman" w:hAnsi="Times New Roman" w:cs="Times New Roman"/>
          <w:sz w:val="24"/>
          <w:szCs w:val="24"/>
        </w:rPr>
      </w:pPr>
      <w:r w:rsidRPr="00137AE4">
        <w:rPr>
          <w:rFonts w:ascii="Times New Roman" w:eastAsia="Times New Roman" w:hAnsi="Times New Roman" w:cs="Times New Roman"/>
          <w:color w:val="000000"/>
          <w:sz w:val="24"/>
          <w:szCs w:val="24"/>
        </w:rPr>
        <w:t xml:space="preserve">The University defines all employees as mandatory reporters for the purpose of complying with the various reporting responsibilities under Title VII, 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and Title IX. All concerning and disruptive behaviors must be reported in a timely way to the institution through the use of the online incident reporting form that can be found </w:t>
      </w:r>
      <w:hyperlink r:id="rId6" w:history="1">
        <w:r w:rsidRPr="00137AE4">
          <w:rPr>
            <w:rFonts w:ascii="Times New Roman" w:eastAsia="Times New Roman" w:hAnsi="Times New Roman" w:cs="Times New Roman"/>
            <w:color w:val="0000FF"/>
            <w:sz w:val="24"/>
            <w:szCs w:val="24"/>
            <w:u w:val="single"/>
          </w:rPr>
          <w:t>here</w:t>
        </w:r>
      </w:hyperlink>
      <w:r w:rsidRPr="00137AE4">
        <w:rPr>
          <w:rFonts w:ascii="Times New Roman" w:eastAsia="Times New Roman" w:hAnsi="Times New Roman" w:cs="Times New Roman"/>
          <w:color w:val="000000"/>
          <w:sz w:val="24"/>
          <w:szCs w:val="24"/>
        </w:rPr>
        <w:t xml:space="preserve"> (http://www.davenport.edu/campus-life/issue-resolution/facultystaff).</w:t>
      </w:r>
    </w:p>
    <w:p w:rsidR="00137AE4" w:rsidRDefault="00137AE4" w:rsidP="00137AE4">
      <w:pPr>
        <w:spacing w:before="240" w:after="0" w:line="240" w:lineRule="auto"/>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In your role as a mandatory reporter, it is of particular importance that if you learn about sexual harassment, discrimination, sexual assault, drug or alcohol concerns or a crime such as those covered by 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w:t>
      </w:r>
      <w:r w:rsidRPr="00137AE4">
        <w:rPr>
          <w:rFonts w:ascii="Times New Roman" w:eastAsia="Times New Roman" w:hAnsi="Times New Roman" w:cs="Times New Roman"/>
          <w:i/>
          <w:iCs/>
          <w:color w:val="000000"/>
          <w:sz w:val="24"/>
          <w:szCs w:val="24"/>
        </w:rPr>
        <w:t>see the Guidelines section below</w:t>
      </w:r>
      <w:r w:rsidRPr="00137AE4">
        <w:rPr>
          <w:rFonts w:ascii="Times New Roman" w:eastAsia="Times New Roman" w:hAnsi="Times New Roman" w:cs="Times New Roman"/>
          <w:color w:val="000000"/>
          <w:sz w:val="24"/>
          <w:szCs w:val="24"/>
        </w:rPr>
        <w:t>), that you make a report in one of the ways indicated in the attached guidelines.</w:t>
      </w:r>
    </w:p>
    <w:p w:rsidR="00137AE4" w:rsidRDefault="00137AE4" w:rsidP="00137AE4">
      <w:pPr>
        <w:spacing w:after="0" w:line="240" w:lineRule="auto"/>
        <w:rPr>
          <w:rFonts w:ascii="Times New Roman" w:eastAsia="Times New Roman" w:hAnsi="Times New Roman" w:cs="Times New Roman"/>
          <w:b/>
          <w:bCs/>
          <w:color w:val="000000"/>
          <w:sz w:val="24"/>
          <w:szCs w:val="24"/>
        </w:rPr>
      </w:pPr>
    </w:p>
    <w:p w:rsidR="00137AE4" w:rsidRPr="00137AE4" w:rsidRDefault="00137AE4" w:rsidP="00137AE4">
      <w:pPr>
        <w:spacing w:after="0" w:line="240" w:lineRule="auto"/>
        <w:rPr>
          <w:rFonts w:ascii="Times New Roman" w:eastAsia="Times New Roman" w:hAnsi="Times New Roman" w:cs="Times New Roman"/>
          <w:sz w:val="24"/>
          <w:szCs w:val="24"/>
        </w:rPr>
      </w:pPr>
      <w:r w:rsidRPr="00137AE4">
        <w:rPr>
          <w:rFonts w:ascii="Times New Roman" w:eastAsia="Times New Roman" w:hAnsi="Times New Roman" w:cs="Times New Roman"/>
          <w:b/>
          <w:bCs/>
          <w:color w:val="000000"/>
          <w:sz w:val="24"/>
          <w:szCs w:val="24"/>
        </w:rPr>
        <w:t xml:space="preserve">A note about Confidentiality: </w:t>
      </w:r>
    </w:p>
    <w:p w:rsidR="00137AE4" w:rsidRDefault="00137AE4" w:rsidP="00137AE4">
      <w:pPr>
        <w:spacing w:after="0" w:line="240" w:lineRule="auto"/>
        <w:rPr>
          <w:rFonts w:ascii="Times New Roman" w:eastAsia="Times New Roman" w:hAnsi="Times New Roman" w:cs="Times New Roman"/>
          <w:color w:val="000000"/>
          <w:sz w:val="24"/>
          <w:szCs w:val="24"/>
        </w:rPr>
      </w:pPr>
    </w:p>
    <w:p w:rsidR="00137AE4" w:rsidRPr="00137AE4" w:rsidRDefault="00137AE4" w:rsidP="00137AE4">
      <w:pPr>
        <w:spacing w:after="0" w:line="240" w:lineRule="auto"/>
        <w:rPr>
          <w:rFonts w:ascii="Times New Roman" w:eastAsia="Times New Roman" w:hAnsi="Times New Roman" w:cs="Times New Roman"/>
          <w:sz w:val="24"/>
          <w:szCs w:val="24"/>
        </w:rPr>
      </w:pPr>
      <w:r w:rsidRPr="00137AE4">
        <w:rPr>
          <w:rFonts w:ascii="Times New Roman" w:eastAsia="Times New Roman" w:hAnsi="Times New Roman" w:cs="Times New Roman"/>
          <w:color w:val="000000"/>
          <w:sz w:val="24"/>
          <w:szCs w:val="24"/>
        </w:rPr>
        <w:t>When reporting sexual harassment or discrimination or sexual assault, a University employee may initially be able to omit personally identifiable information (</w:t>
      </w:r>
      <w:r w:rsidRPr="00137AE4">
        <w:rPr>
          <w:rFonts w:ascii="Times New Roman" w:eastAsia="Times New Roman" w:hAnsi="Times New Roman" w:cs="Times New Roman"/>
          <w:i/>
          <w:iCs/>
          <w:color w:val="000000"/>
          <w:sz w:val="24"/>
          <w:szCs w:val="24"/>
        </w:rPr>
        <w:t>the name of the victim, the name of the accused individual, and other identifying details about witnesses, location, etc.).</w:t>
      </w:r>
      <w:r w:rsidRPr="00137AE4">
        <w:rPr>
          <w:rFonts w:ascii="Times New Roman" w:eastAsia="Times New Roman" w:hAnsi="Times New Roman" w:cs="Times New Roman"/>
          <w:color w:val="000000"/>
          <w:sz w:val="24"/>
          <w:szCs w:val="24"/>
        </w:rPr>
        <w:t xml:space="preserve"> The Title IX Coordinator will guide you with regard to how much detail is needed in an initial report. Subsequent to an initial report, campus officials may need additional information in order to fulfill the University’s obligations under Title IX. In taking these subsequent actions, the University will always be guided by the goals of empowering the victim and allowing the victim to retain as much control over the process as possible, but no employee (</w:t>
      </w:r>
      <w:r w:rsidRPr="00137AE4">
        <w:rPr>
          <w:rFonts w:ascii="Times New Roman" w:eastAsia="Times New Roman" w:hAnsi="Times New Roman" w:cs="Times New Roman"/>
          <w:i/>
          <w:iCs/>
          <w:color w:val="000000"/>
          <w:sz w:val="24"/>
          <w:szCs w:val="24"/>
        </w:rPr>
        <w:t>other than counselors, health care providers and clergy operating in that function as an aspect of their employment</w:t>
      </w:r>
      <w:r w:rsidRPr="00137AE4">
        <w:rPr>
          <w:rFonts w:ascii="Times New Roman" w:eastAsia="Times New Roman" w:hAnsi="Times New Roman" w:cs="Times New Roman"/>
          <w:color w:val="000000"/>
          <w:sz w:val="24"/>
          <w:szCs w:val="24"/>
        </w:rPr>
        <w:t xml:space="preserve">) can or should promise confidentiality. Counselors, health service providers and clergy are voluntary reporters, not mandated by law, but University policy creates an expectation to report non-personally identifiable information. </w:t>
      </w:r>
    </w:p>
    <w:p w:rsidR="00137AE4" w:rsidRPr="00137AE4" w:rsidRDefault="00137AE4" w:rsidP="00137AE4">
      <w:pPr>
        <w:spacing w:after="0" w:line="240" w:lineRule="auto"/>
        <w:rPr>
          <w:rFonts w:ascii="Times New Roman" w:eastAsia="Times New Roman" w:hAnsi="Times New Roman" w:cs="Times New Roman"/>
          <w:sz w:val="24"/>
          <w:szCs w:val="24"/>
        </w:rPr>
      </w:pPr>
    </w:p>
    <w:p w:rsidR="00137AE4" w:rsidRPr="00137AE4" w:rsidRDefault="00137AE4" w:rsidP="00137AE4">
      <w:pPr>
        <w:spacing w:after="0" w:line="240" w:lineRule="auto"/>
        <w:rPr>
          <w:rFonts w:ascii="Times New Roman" w:eastAsia="Times New Roman" w:hAnsi="Times New Roman" w:cs="Times New Roman"/>
          <w:sz w:val="24"/>
          <w:szCs w:val="24"/>
        </w:rPr>
      </w:pPr>
      <w:r w:rsidRPr="00137AE4">
        <w:rPr>
          <w:rFonts w:ascii="Times New Roman" w:eastAsia="Times New Roman" w:hAnsi="Times New Roman" w:cs="Times New Roman"/>
          <w:b/>
          <w:bCs/>
          <w:color w:val="000000"/>
          <w:sz w:val="24"/>
          <w:szCs w:val="24"/>
        </w:rPr>
        <w:t xml:space="preserve">Specific Information about complying with The </w:t>
      </w:r>
      <w:proofErr w:type="spellStart"/>
      <w:r w:rsidRPr="00137AE4">
        <w:rPr>
          <w:rFonts w:ascii="Times New Roman" w:eastAsia="Times New Roman" w:hAnsi="Times New Roman" w:cs="Times New Roman"/>
          <w:b/>
          <w:bCs/>
          <w:color w:val="000000"/>
          <w:sz w:val="24"/>
          <w:szCs w:val="24"/>
        </w:rPr>
        <w:t>Clery</w:t>
      </w:r>
      <w:proofErr w:type="spellEnd"/>
      <w:r w:rsidRPr="00137AE4">
        <w:rPr>
          <w:rFonts w:ascii="Times New Roman" w:eastAsia="Times New Roman" w:hAnsi="Times New Roman" w:cs="Times New Roman"/>
          <w:b/>
          <w:bCs/>
          <w:color w:val="000000"/>
          <w:sz w:val="24"/>
          <w:szCs w:val="24"/>
        </w:rPr>
        <w:t xml:space="preserve"> Act:</w:t>
      </w:r>
    </w:p>
    <w:p w:rsidR="00137AE4" w:rsidRDefault="00137AE4" w:rsidP="00137AE4">
      <w:pPr>
        <w:spacing w:after="0" w:line="240" w:lineRule="auto"/>
        <w:rPr>
          <w:rFonts w:ascii="Times New Roman" w:eastAsia="Times New Roman" w:hAnsi="Times New Roman" w:cs="Times New Roman"/>
          <w:color w:val="000000"/>
          <w:sz w:val="24"/>
          <w:szCs w:val="24"/>
        </w:rPr>
      </w:pPr>
    </w:p>
    <w:p w:rsidR="00137AE4" w:rsidRDefault="00137AE4" w:rsidP="00137AE4">
      <w:pPr>
        <w:spacing w:after="0" w:line="240" w:lineRule="auto"/>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requires reporting of 18 serious crimes, including sexual assault. Employees are expected to report crimes covered by 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to the Department of Public Safety (DPS) without delay. Employees may choose, but are not required, to provide personally identifiable information (</w:t>
      </w:r>
      <w:r w:rsidRPr="00137AE4">
        <w:rPr>
          <w:rFonts w:ascii="Times New Roman" w:eastAsia="Times New Roman" w:hAnsi="Times New Roman" w:cs="Times New Roman"/>
          <w:i/>
          <w:iCs/>
          <w:color w:val="000000"/>
          <w:sz w:val="24"/>
          <w:szCs w:val="24"/>
        </w:rPr>
        <w:t>the name of the victim, the name of the accused individual, and other identifying details about witnesses, specific location, etc.)</w:t>
      </w:r>
      <w:r w:rsidRPr="00137AE4">
        <w:rPr>
          <w:rFonts w:ascii="Times New Roman" w:eastAsia="Times New Roman" w:hAnsi="Times New Roman" w:cs="Times New Roman"/>
          <w:color w:val="000000"/>
          <w:sz w:val="24"/>
          <w:szCs w:val="24"/>
        </w:rPr>
        <w:t xml:space="preserve"> unless a clear threat to health or safety is present, as determined by DPS. </w:t>
      </w:r>
    </w:p>
    <w:p w:rsidR="00137AE4" w:rsidRDefault="00137AE4" w:rsidP="00137AE4">
      <w:pPr>
        <w:spacing w:after="0" w:line="240" w:lineRule="auto"/>
        <w:rPr>
          <w:rFonts w:ascii="Times New Roman" w:eastAsia="Times New Roman" w:hAnsi="Times New Roman" w:cs="Times New Roman"/>
          <w:color w:val="000000"/>
          <w:sz w:val="24"/>
          <w:szCs w:val="24"/>
        </w:rPr>
      </w:pPr>
    </w:p>
    <w:p w:rsidR="00137AE4" w:rsidRPr="00137AE4" w:rsidRDefault="00137AE4" w:rsidP="00137AE4">
      <w:pPr>
        <w:spacing w:after="0" w:line="240" w:lineRule="auto"/>
        <w:rPr>
          <w:rFonts w:ascii="Times New Roman" w:eastAsia="Times New Roman" w:hAnsi="Times New Roman" w:cs="Times New Roman"/>
          <w:sz w:val="24"/>
          <w:szCs w:val="24"/>
        </w:rPr>
      </w:pPr>
      <w:r w:rsidRPr="00137AE4">
        <w:rPr>
          <w:rFonts w:ascii="Times New Roman" w:eastAsia="Times New Roman" w:hAnsi="Times New Roman" w:cs="Times New Roman"/>
          <w:color w:val="000000"/>
          <w:sz w:val="24"/>
          <w:szCs w:val="24"/>
        </w:rPr>
        <w:t xml:space="preserve">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does not establish an obligation for Public Safety to conduct an investigation of the reported crime, only to report the crime as a statistic following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guidelines. In some cases, DPS may also be required to release a timely warning to the community about a threat to the community. In such cases, an initial investigation or determination of the nature of the threat may be conducted, after which a warning will be issued immediately. </w:t>
      </w:r>
    </w:p>
    <w:p w:rsidR="00137AE4" w:rsidRPr="00137AE4" w:rsidRDefault="00137AE4" w:rsidP="00137AE4">
      <w:pPr>
        <w:spacing w:after="0" w:line="240" w:lineRule="auto"/>
        <w:rPr>
          <w:rFonts w:ascii="Times New Roman" w:eastAsia="Times New Roman" w:hAnsi="Times New Roman" w:cs="Times New Roman"/>
          <w:sz w:val="24"/>
          <w:szCs w:val="24"/>
        </w:rPr>
      </w:pPr>
    </w:p>
    <w:p w:rsidR="00137AE4" w:rsidRDefault="00137AE4" w:rsidP="00137AE4">
      <w:pPr>
        <w:spacing w:after="0" w:line="240" w:lineRule="auto"/>
        <w:rPr>
          <w:rFonts w:ascii="Times New Roman" w:eastAsia="Times New Roman" w:hAnsi="Times New Roman" w:cs="Times New Roman"/>
          <w:b/>
          <w:bCs/>
          <w:color w:val="000000"/>
          <w:sz w:val="24"/>
          <w:szCs w:val="24"/>
        </w:rPr>
      </w:pPr>
    </w:p>
    <w:p w:rsidR="00137AE4" w:rsidRDefault="00137AE4" w:rsidP="00137AE4">
      <w:pPr>
        <w:spacing w:after="0" w:line="240" w:lineRule="auto"/>
        <w:rPr>
          <w:rFonts w:ascii="Times New Roman" w:eastAsia="Times New Roman" w:hAnsi="Times New Roman" w:cs="Times New Roman"/>
          <w:b/>
          <w:bCs/>
          <w:color w:val="000000"/>
          <w:sz w:val="24"/>
          <w:szCs w:val="24"/>
        </w:rPr>
      </w:pPr>
      <w:r w:rsidRPr="00137AE4">
        <w:rPr>
          <w:rFonts w:ascii="Times New Roman" w:eastAsia="Times New Roman" w:hAnsi="Times New Roman" w:cs="Times New Roman"/>
          <w:b/>
          <w:bCs/>
          <w:color w:val="000000"/>
          <w:sz w:val="24"/>
          <w:szCs w:val="24"/>
        </w:rPr>
        <w:t>Mandatory Reporting Guidelines for Employees of Davenport University:</w:t>
      </w:r>
    </w:p>
    <w:p w:rsidR="00137AE4" w:rsidRPr="00137AE4" w:rsidRDefault="00137AE4" w:rsidP="00137AE4">
      <w:pPr>
        <w:spacing w:after="0" w:line="240" w:lineRule="auto"/>
        <w:rPr>
          <w:rFonts w:ascii="Times New Roman" w:eastAsia="Times New Roman" w:hAnsi="Times New Roman" w:cs="Times New Roman"/>
          <w:sz w:val="24"/>
          <w:szCs w:val="24"/>
        </w:rPr>
      </w:pPr>
    </w:p>
    <w:p w:rsidR="00137AE4" w:rsidRPr="00137AE4" w:rsidRDefault="00137AE4" w:rsidP="00137AE4">
      <w:pPr>
        <w:numPr>
          <w:ilvl w:val="0"/>
          <w:numId w:val="1"/>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color w:val="000000"/>
          <w:sz w:val="24"/>
          <w:szCs w:val="24"/>
        </w:rPr>
        <w:t xml:space="preserve">The University has defined all employees, both faculty and staff (and student employees when they are working), as </w:t>
      </w:r>
      <w:r w:rsidRPr="00137AE4">
        <w:rPr>
          <w:rFonts w:ascii="Times New Roman" w:eastAsia="Times New Roman" w:hAnsi="Times New Roman" w:cs="Times New Roman"/>
          <w:b/>
          <w:bCs/>
          <w:color w:val="000000"/>
          <w:sz w:val="24"/>
          <w:szCs w:val="24"/>
        </w:rPr>
        <w:t>mandatory reporters</w:t>
      </w:r>
      <w:r w:rsidRPr="00137AE4">
        <w:rPr>
          <w:rFonts w:ascii="Times New Roman" w:eastAsia="Times New Roman" w:hAnsi="Times New Roman" w:cs="Times New Roman"/>
          <w:color w:val="000000"/>
          <w:sz w:val="24"/>
          <w:szCs w:val="24"/>
        </w:rPr>
        <w:t>.  A description of the responsibilities of this role follows.</w:t>
      </w:r>
    </w:p>
    <w:p w:rsidR="00137AE4" w:rsidRPr="00137AE4" w:rsidRDefault="00137AE4" w:rsidP="00137AE4">
      <w:pPr>
        <w:numPr>
          <w:ilvl w:val="0"/>
          <w:numId w:val="1"/>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b/>
          <w:bCs/>
          <w:color w:val="000000"/>
          <w:sz w:val="24"/>
          <w:szCs w:val="24"/>
        </w:rPr>
        <w:t>Support the student or employee or visitor</w:t>
      </w:r>
      <w:r w:rsidRPr="00137AE4">
        <w:rPr>
          <w:rFonts w:ascii="Times New Roman" w:eastAsia="Times New Roman" w:hAnsi="Times New Roman" w:cs="Times New Roman"/>
          <w:color w:val="000000"/>
          <w:sz w:val="24"/>
          <w:szCs w:val="24"/>
        </w:rPr>
        <w:t>:  When an employee becomes aware of an alleged act of concerning behavior including but not limited to drug and alcohol concerns, discrimination, harassment (including sexual violence) and/or crimes by or against students or employees, the University expects the following:</w:t>
      </w:r>
    </w:p>
    <w:p w:rsidR="00137AE4" w:rsidRPr="00137AE4" w:rsidRDefault="00137AE4" w:rsidP="00137AE4">
      <w:pPr>
        <w:numPr>
          <w:ilvl w:val="1"/>
          <w:numId w:val="2"/>
        </w:numPr>
        <w:spacing w:after="0" w:line="240" w:lineRule="auto"/>
        <w:ind w:left="1080" w:hanging="36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Is there a present and occurring emergency?  Contact the Department of Public Safety (formerly Campus Security) at your location, or call 911.</w:t>
      </w:r>
    </w:p>
    <w:p w:rsidR="00137AE4" w:rsidRPr="00137AE4" w:rsidRDefault="00137AE4" w:rsidP="00137AE4">
      <w:pPr>
        <w:numPr>
          <w:ilvl w:val="1"/>
          <w:numId w:val="2"/>
        </w:numPr>
        <w:spacing w:after="0" w:line="240" w:lineRule="auto"/>
        <w:ind w:left="1080" w:hanging="36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Does someone need support other than medical or law enforcement?</w:t>
      </w:r>
    </w:p>
    <w:p w:rsidR="00137AE4" w:rsidRPr="00137AE4" w:rsidRDefault="00137AE4" w:rsidP="00137AE4">
      <w:pPr>
        <w:numPr>
          <w:ilvl w:val="2"/>
          <w:numId w:val="3"/>
        </w:numPr>
        <w:spacing w:after="0" w:line="240" w:lineRule="auto"/>
        <w:ind w:left="1980" w:hanging="36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b/>
          <w:bCs/>
          <w:color w:val="000000"/>
          <w:sz w:val="24"/>
          <w:szCs w:val="24"/>
        </w:rPr>
        <w:t>Students</w:t>
      </w:r>
      <w:r w:rsidRPr="00137AE4">
        <w:rPr>
          <w:rFonts w:ascii="Times New Roman" w:eastAsia="Times New Roman" w:hAnsi="Times New Roman" w:cs="Times New Roman"/>
          <w:color w:val="000000"/>
          <w:sz w:val="24"/>
          <w:szCs w:val="24"/>
        </w:rPr>
        <w:t>: Rather than speaking to the student about confidential information, the employee should offer to refer the student to the University sponsored counseling services.  </w:t>
      </w:r>
    </w:p>
    <w:p w:rsidR="00522A47" w:rsidRDefault="00522A47" w:rsidP="00137AE4">
      <w:pPr>
        <w:numPr>
          <w:ilvl w:val="3"/>
          <w:numId w:val="3"/>
        </w:numPr>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students can schedule a counseling appointment at (616) 891-8770. </w:t>
      </w:r>
      <w:proofErr w:type="spellStart"/>
      <w:r w:rsidR="00BF5766">
        <w:rPr>
          <w:rFonts w:ascii="Times New Roman" w:eastAsia="Times New Roman" w:hAnsi="Times New Roman" w:cs="Times New Roman"/>
          <w:color w:val="000000"/>
          <w:sz w:val="24"/>
          <w:szCs w:val="24"/>
        </w:rPr>
        <w:t>Lettinga</w:t>
      </w:r>
      <w:proofErr w:type="spellEnd"/>
      <w:r w:rsidR="00BF5766">
        <w:rPr>
          <w:rFonts w:ascii="Times New Roman" w:eastAsia="Times New Roman" w:hAnsi="Times New Roman" w:cs="Times New Roman"/>
          <w:color w:val="000000"/>
          <w:sz w:val="24"/>
          <w:szCs w:val="24"/>
        </w:rPr>
        <w:t xml:space="preserve"> students can have an in-person appointment, while other campuses are offered a </w:t>
      </w:r>
      <w:proofErr w:type="spellStart"/>
      <w:r w:rsidR="00BF5766">
        <w:rPr>
          <w:rFonts w:ascii="Times New Roman" w:eastAsia="Times New Roman" w:hAnsi="Times New Roman" w:cs="Times New Roman"/>
          <w:color w:val="000000"/>
          <w:sz w:val="24"/>
          <w:szCs w:val="24"/>
        </w:rPr>
        <w:t>TeleTherapy</w:t>
      </w:r>
      <w:proofErr w:type="spellEnd"/>
      <w:r w:rsidR="00BF5766">
        <w:rPr>
          <w:rFonts w:ascii="Times New Roman" w:eastAsia="Times New Roman" w:hAnsi="Times New Roman" w:cs="Times New Roman"/>
          <w:color w:val="000000"/>
          <w:sz w:val="24"/>
          <w:szCs w:val="24"/>
        </w:rPr>
        <w:t xml:space="preserve"> appointment. </w:t>
      </w:r>
    </w:p>
    <w:p w:rsidR="00137AE4" w:rsidRPr="00BF5766" w:rsidRDefault="00BF5766" w:rsidP="00137AE4">
      <w:pPr>
        <w:numPr>
          <w:ilvl w:val="3"/>
          <w:numId w:val="3"/>
        </w:numPr>
        <w:spacing w:after="0" w:line="240" w:lineRule="auto"/>
        <w:ind w:left="25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Same day</w:t>
      </w:r>
      <w:r w:rsidR="00137AE4" w:rsidRPr="00137AE4">
        <w:rPr>
          <w:rFonts w:ascii="Times New Roman" w:eastAsia="Times New Roman" w:hAnsi="Times New Roman" w:cs="Times New Roman"/>
          <w:color w:val="222222"/>
          <w:sz w:val="24"/>
          <w:szCs w:val="24"/>
          <w:shd w:val="clear" w:color="auto" w:fill="FFFFFF"/>
        </w:rPr>
        <w:t xml:space="preserve"> support </w:t>
      </w:r>
      <w:r>
        <w:rPr>
          <w:rFonts w:ascii="Times New Roman" w:eastAsia="Times New Roman" w:hAnsi="Times New Roman" w:cs="Times New Roman"/>
          <w:color w:val="222222"/>
          <w:sz w:val="24"/>
          <w:szCs w:val="24"/>
          <w:shd w:val="clear" w:color="auto" w:fill="FFFFFF"/>
        </w:rPr>
        <w:t>with an on-call licensed clinician is available via phone 24/7.</w:t>
      </w:r>
    </w:p>
    <w:p w:rsidR="00BF5766" w:rsidRPr="00BF5766" w:rsidRDefault="00BF5766" w:rsidP="00BF5766">
      <w:pPr>
        <w:numPr>
          <w:ilvl w:val="4"/>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9AM-8PM (EST) call (616) 258-7500</w:t>
      </w:r>
    </w:p>
    <w:p w:rsidR="00BF5766" w:rsidRPr="00137AE4" w:rsidRDefault="00BF5766" w:rsidP="00BF5766">
      <w:pPr>
        <w:numPr>
          <w:ilvl w:val="4"/>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8PM-9AM (EST) call (616) 455-9200</w:t>
      </w:r>
    </w:p>
    <w:p w:rsidR="00137AE4" w:rsidRPr="00137AE4" w:rsidRDefault="00137AE4" w:rsidP="00137AE4">
      <w:pPr>
        <w:numPr>
          <w:ilvl w:val="2"/>
          <w:numId w:val="3"/>
        </w:numPr>
        <w:spacing w:after="0" w:line="240" w:lineRule="auto"/>
        <w:ind w:left="1980" w:hanging="36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b/>
          <w:bCs/>
          <w:color w:val="000000"/>
          <w:sz w:val="24"/>
          <w:szCs w:val="24"/>
        </w:rPr>
        <w:t>Employees:</w:t>
      </w:r>
      <w:r w:rsidRPr="00137AE4">
        <w:rPr>
          <w:rFonts w:ascii="Times New Roman" w:eastAsia="Times New Roman" w:hAnsi="Times New Roman" w:cs="Times New Roman"/>
          <w:color w:val="000000"/>
          <w:sz w:val="24"/>
          <w:szCs w:val="24"/>
        </w:rPr>
        <w:t xml:space="preserve">  Rather than speaking to the employee about confidential information, the employee should offer to refer any full time employee to University sponsored counseling services. </w:t>
      </w:r>
    </w:p>
    <w:p w:rsidR="00137AE4" w:rsidRPr="00137AE4" w:rsidRDefault="00137AE4" w:rsidP="00137AE4">
      <w:pPr>
        <w:numPr>
          <w:ilvl w:val="3"/>
          <w:numId w:val="3"/>
        </w:numPr>
        <w:spacing w:after="0" w:line="240" w:lineRule="auto"/>
        <w:ind w:left="252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Full time staff at all locations: Employee Assistance Program at </w:t>
      </w:r>
      <w:proofErr w:type="spellStart"/>
      <w:r w:rsidR="00D36A80">
        <w:rPr>
          <w:rFonts w:ascii="Times New Roman" w:eastAsia="Times New Roman" w:hAnsi="Times New Roman" w:cs="Times New Roman"/>
          <w:color w:val="000000"/>
          <w:sz w:val="24"/>
          <w:szCs w:val="24"/>
        </w:rPr>
        <w:t>EmployeeConnect</w:t>
      </w:r>
      <w:proofErr w:type="spellEnd"/>
      <w:r w:rsidR="00D36A80">
        <w:rPr>
          <w:rFonts w:ascii="Times New Roman" w:eastAsia="Times New Roman" w:hAnsi="Times New Roman" w:cs="Times New Roman"/>
          <w:color w:val="000000"/>
          <w:sz w:val="24"/>
          <w:szCs w:val="24"/>
        </w:rPr>
        <w:t xml:space="preserve"> Plus </w:t>
      </w:r>
      <w:r w:rsidRPr="00137AE4">
        <w:rPr>
          <w:rFonts w:ascii="Times New Roman" w:eastAsia="Times New Roman" w:hAnsi="Times New Roman" w:cs="Times New Roman"/>
          <w:color w:val="000000"/>
          <w:sz w:val="24"/>
          <w:szCs w:val="24"/>
        </w:rPr>
        <w:t xml:space="preserve">at </w:t>
      </w:r>
      <w:r w:rsidR="00D36A80">
        <w:rPr>
          <w:rFonts w:ascii="Times New Roman" w:eastAsia="Times New Roman" w:hAnsi="Times New Roman" w:cs="Times New Roman"/>
          <w:color w:val="000000"/>
          <w:sz w:val="24"/>
          <w:szCs w:val="24"/>
        </w:rPr>
        <w:t>855-327-4463</w:t>
      </w:r>
      <w:r w:rsidRPr="00137AE4">
        <w:rPr>
          <w:rFonts w:ascii="Times New Roman" w:eastAsia="Times New Roman" w:hAnsi="Times New Roman" w:cs="Times New Roman"/>
          <w:color w:val="000000"/>
          <w:sz w:val="24"/>
          <w:szCs w:val="24"/>
        </w:rPr>
        <w:t xml:space="preserve">. </w:t>
      </w:r>
    </w:p>
    <w:p w:rsidR="00137AE4" w:rsidRPr="00137AE4" w:rsidRDefault="00137AE4" w:rsidP="00137AE4">
      <w:pPr>
        <w:numPr>
          <w:ilvl w:val="3"/>
          <w:numId w:val="3"/>
        </w:numPr>
        <w:spacing w:after="0" w:line="240" w:lineRule="auto"/>
        <w:ind w:left="2520"/>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General support and guidance is available via our Human Resources Team.  Employee Relations: 616-732-1151.  Benefits: 616-732-1072.</w:t>
      </w:r>
    </w:p>
    <w:p w:rsidR="00137AE4" w:rsidRDefault="00137AE4" w:rsidP="00137AE4">
      <w:pPr>
        <w:numPr>
          <w:ilvl w:val="0"/>
          <w:numId w:val="3"/>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b/>
          <w:bCs/>
          <w:color w:val="000000"/>
          <w:sz w:val="24"/>
          <w:szCs w:val="24"/>
        </w:rPr>
        <w:t>Make a report:</w:t>
      </w:r>
      <w:r w:rsidRPr="00137AE4">
        <w:rPr>
          <w:rFonts w:ascii="Times New Roman" w:eastAsia="Times New Roman" w:hAnsi="Times New Roman" w:cs="Times New Roman"/>
          <w:color w:val="000000"/>
          <w:sz w:val="24"/>
          <w:szCs w:val="24"/>
        </w:rPr>
        <w:t xml:space="preserve"> Once you are confident that the immediate situation is well handled, then it is time to report what you know.  The following reporting venues are available.</w:t>
      </w:r>
    </w:p>
    <w:p w:rsidR="00137AE4" w:rsidRPr="00137AE4" w:rsidRDefault="00137AE4" w:rsidP="00137AE4">
      <w:pPr>
        <w:pStyle w:val="ListParagraph"/>
        <w:numPr>
          <w:ilvl w:val="0"/>
          <w:numId w:val="11"/>
        </w:numPr>
        <w:spacing w:after="0" w:line="240" w:lineRule="auto"/>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color w:val="000000"/>
          <w:sz w:val="24"/>
          <w:szCs w:val="24"/>
        </w:rPr>
        <w:t xml:space="preserve">The employee may communicate through the online incident reporting form found on the DU </w:t>
      </w:r>
      <w:proofErr w:type="spellStart"/>
      <w:r w:rsidRPr="00137AE4">
        <w:rPr>
          <w:rFonts w:ascii="Times New Roman" w:eastAsia="Times New Roman" w:hAnsi="Times New Roman" w:cs="Times New Roman"/>
          <w:color w:val="000000"/>
          <w:sz w:val="24"/>
          <w:szCs w:val="24"/>
        </w:rPr>
        <w:t>Intraweb</w:t>
      </w:r>
      <w:proofErr w:type="spellEnd"/>
      <w:r w:rsidRPr="00137AE4">
        <w:rPr>
          <w:rFonts w:ascii="Times New Roman" w:eastAsia="Times New Roman" w:hAnsi="Times New Roman" w:cs="Times New Roman"/>
          <w:color w:val="000000"/>
          <w:sz w:val="24"/>
          <w:szCs w:val="24"/>
        </w:rPr>
        <w:t xml:space="preserve"> </w:t>
      </w:r>
      <w:hyperlink r:id="rId7" w:history="1">
        <w:r w:rsidRPr="00137AE4">
          <w:rPr>
            <w:rFonts w:ascii="Times New Roman" w:eastAsia="Times New Roman" w:hAnsi="Times New Roman" w:cs="Times New Roman"/>
            <w:color w:val="0000FF"/>
            <w:sz w:val="24"/>
            <w:szCs w:val="24"/>
            <w:u w:val="single"/>
          </w:rPr>
          <w:t>here</w:t>
        </w:r>
      </w:hyperlink>
      <w:r w:rsidRPr="00137AE4">
        <w:rPr>
          <w:rFonts w:ascii="Times New Roman" w:eastAsia="Times New Roman" w:hAnsi="Times New Roman" w:cs="Times New Roman"/>
          <w:color w:val="000000"/>
          <w:sz w:val="24"/>
          <w:szCs w:val="24"/>
        </w:rPr>
        <w:t>. (</w:t>
      </w:r>
      <w:hyperlink r:id="rId8" w:history="1">
        <w:r w:rsidRPr="00DD45B6">
          <w:rPr>
            <w:rStyle w:val="Hyperlink"/>
            <w:rFonts w:ascii="Times New Roman" w:eastAsia="Times New Roman" w:hAnsi="Times New Roman" w:cs="Times New Roman"/>
            <w:sz w:val="24"/>
            <w:szCs w:val="24"/>
          </w:rPr>
          <w:t>http://www.davenport.edu/campus-life/issue-resolution/facultystaff</w:t>
        </w:r>
      </w:hyperlink>
      <w:r w:rsidRPr="00137AE4">
        <w:rPr>
          <w:rFonts w:ascii="Times New Roman" w:eastAsia="Times New Roman" w:hAnsi="Times New Roman" w:cs="Times New Roman"/>
          <w:color w:val="000000"/>
          <w:sz w:val="24"/>
          <w:szCs w:val="24"/>
        </w:rPr>
        <w:t>)</w:t>
      </w:r>
    </w:p>
    <w:p w:rsidR="00137AE4" w:rsidRPr="00137AE4" w:rsidRDefault="00137AE4" w:rsidP="00137AE4">
      <w:pPr>
        <w:pStyle w:val="ListParagraph"/>
        <w:numPr>
          <w:ilvl w:val="0"/>
          <w:numId w:val="11"/>
        </w:numPr>
        <w:spacing w:after="0" w:line="240" w:lineRule="auto"/>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color w:val="000000"/>
          <w:sz w:val="24"/>
          <w:szCs w:val="24"/>
        </w:rPr>
        <w:t>Alternatively, the employee may call the Title IX Coordinator, for sex and gender based issues, or the Department of Public Safety and then follow-up by filing the online incident report.</w:t>
      </w:r>
    </w:p>
    <w:p w:rsidR="00137AE4" w:rsidRDefault="00137AE4" w:rsidP="00137AE4">
      <w:pPr>
        <w:numPr>
          <w:ilvl w:val="0"/>
          <w:numId w:val="4"/>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b/>
          <w:bCs/>
          <w:color w:val="000000"/>
          <w:sz w:val="24"/>
          <w:szCs w:val="24"/>
        </w:rPr>
        <w:t>Confidentiality Note:</w:t>
      </w:r>
      <w:r w:rsidRPr="00137AE4">
        <w:rPr>
          <w:rFonts w:ascii="Times New Roman" w:eastAsia="Times New Roman" w:hAnsi="Times New Roman" w:cs="Times New Roman"/>
          <w:color w:val="000000"/>
          <w:sz w:val="24"/>
          <w:szCs w:val="24"/>
        </w:rPr>
        <w:t xml:space="preserve">  When an employee thinks that a student may be about to report an act of sexual harassment, discrimination or assault…</w:t>
      </w:r>
    </w:p>
    <w:p w:rsidR="00137AE4" w:rsidRDefault="00137AE4" w:rsidP="00137AE4">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The employee should tell the student that the University will maintain the privacy of the information, but the employee cannot maintain complete confidentiality and is required to report the act and may be required to reveal the names of the parties involved. </w:t>
      </w:r>
    </w:p>
    <w:p w:rsidR="00137AE4" w:rsidRDefault="00137AE4" w:rsidP="00137AE4">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If the student wishes to proceed, the employee should inform the student of the implications of sharing the names of the parties involved, which puts the University on notice. </w:t>
      </w:r>
    </w:p>
    <w:p w:rsidR="00137AE4" w:rsidRDefault="00137AE4" w:rsidP="00137AE4">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137AE4">
        <w:rPr>
          <w:rFonts w:ascii="Times New Roman" w:eastAsia="Times New Roman" w:hAnsi="Times New Roman" w:cs="Times New Roman"/>
          <w:color w:val="000000"/>
          <w:sz w:val="24"/>
          <w:szCs w:val="24"/>
        </w:rPr>
        <w:t xml:space="preserve">The Title IX team is also available to provide guidance on how to handle a situation to faculty and professional staff at any time. </w:t>
      </w:r>
    </w:p>
    <w:p w:rsidR="00FC2712" w:rsidRDefault="00FC2712" w:rsidP="00FC2712">
      <w:pPr>
        <w:spacing w:after="0" w:line="240" w:lineRule="auto"/>
        <w:textAlignment w:val="baseline"/>
        <w:rPr>
          <w:rFonts w:ascii="Times New Roman" w:eastAsia="Times New Roman" w:hAnsi="Times New Roman" w:cs="Times New Roman"/>
          <w:color w:val="000000"/>
          <w:sz w:val="24"/>
          <w:szCs w:val="24"/>
        </w:rPr>
      </w:pPr>
    </w:p>
    <w:p w:rsidR="00FC2712" w:rsidRPr="00FC2712" w:rsidRDefault="00FC2712" w:rsidP="00FC2712">
      <w:pPr>
        <w:spacing w:after="0" w:line="240" w:lineRule="auto"/>
        <w:textAlignment w:val="baseline"/>
        <w:rPr>
          <w:rFonts w:ascii="Times New Roman" w:eastAsia="Times New Roman" w:hAnsi="Times New Roman" w:cs="Times New Roman"/>
          <w:color w:val="000000"/>
          <w:sz w:val="24"/>
          <w:szCs w:val="24"/>
        </w:rPr>
      </w:pPr>
    </w:p>
    <w:p w:rsidR="00137AE4" w:rsidRPr="00137AE4" w:rsidRDefault="00137AE4" w:rsidP="00137AE4">
      <w:pPr>
        <w:numPr>
          <w:ilvl w:val="0"/>
          <w:numId w:val="5"/>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b/>
          <w:bCs/>
          <w:color w:val="000000"/>
          <w:sz w:val="24"/>
          <w:szCs w:val="24"/>
        </w:rPr>
        <w:t>Resources for staff and faculty</w:t>
      </w:r>
      <w:r w:rsidRPr="00137AE4">
        <w:rPr>
          <w:rFonts w:ascii="Times New Roman" w:eastAsia="Times New Roman" w:hAnsi="Times New Roman" w:cs="Times New Roman"/>
          <w:color w:val="000000"/>
          <w:sz w:val="24"/>
          <w:szCs w:val="24"/>
        </w:rPr>
        <w:t>:</w:t>
      </w:r>
    </w:p>
    <w:p w:rsidR="00510E9B" w:rsidRDefault="00137AE4" w:rsidP="00474EB8">
      <w:pPr>
        <w:pStyle w:val="ListParagraph"/>
        <w:numPr>
          <w:ilvl w:val="1"/>
          <w:numId w:val="5"/>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Title IX Coordinators</w:t>
      </w:r>
      <w:r w:rsidR="00474EB8">
        <w:rPr>
          <w:rFonts w:ascii="Times New Roman" w:eastAsia="Times New Roman" w:hAnsi="Times New Roman" w:cs="Times New Roman"/>
          <w:color w:val="000000"/>
          <w:sz w:val="24"/>
          <w:szCs w:val="24"/>
        </w:rPr>
        <w:t xml:space="preserve"> </w:t>
      </w:r>
      <w:hyperlink r:id="rId9" w:history="1">
        <w:r w:rsidR="00474EB8" w:rsidRPr="00474EB8">
          <w:rPr>
            <w:rStyle w:val="Hyperlink"/>
            <w:rFonts w:ascii="Times New Roman" w:eastAsia="Times New Roman" w:hAnsi="Times New Roman" w:cs="Times New Roman"/>
            <w:sz w:val="24"/>
            <w:szCs w:val="24"/>
          </w:rPr>
          <w:t>Link to Contact Information</w:t>
        </w:r>
      </w:hyperlink>
    </w:p>
    <w:p w:rsidR="00510E9B" w:rsidRDefault="00137AE4" w:rsidP="00474EB8">
      <w:pPr>
        <w:pStyle w:val="ListParagraph"/>
        <w:numPr>
          <w:ilvl w:val="1"/>
          <w:numId w:val="5"/>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Human Resources</w:t>
      </w:r>
      <w:r w:rsidR="00474EB8">
        <w:rPr>
          <w:rFonts w:ascii="Times New Roman" w:eastAsia="Times New Roman" w:hAnsi="Times New Roman" w:cs="Times New Roman"/>
          <w:color w:val="000000"/>
          <w:sz w:val="24"/>
          <w:szCs w:val="24"/>
        </w:rPr>
        <w:t xml:space="preserve"> </w:t>
      </w:r>
      <w:hyperlink r:id="rId10" w:history="1">
        <w:r w:rsidR="00474EB8" w:rsidRPr="00474EB8">
          <w:rPr>
            <w:rStyle w:val="Hyperlink"/>
            <w:rFonts w:ascii="Times New Roman" w:eastAsia="Times New Roman" w:hAnsi="Times New Roman" w:cs="Times New Roman"/>
            <w:sz w:val="24"/>
            <w:szCs w:val="24"/>
          </w:rPr>
          <w:t>Link To Contact Information</w:t>
        </w:r>
      </w:hyperlink>
      <w:r w:rsidR="00474EB8">
        <w:rPr>
          <w:rFonts w:ascii="Times New Roman" w:eastAsia="Times New Roman" w:hAnsi="Times New Roman" w:cs="Times New Roman"/>
          <w:color w:val="000000"/>
          <w:sz w:val="24"/>
          <w:szCs w:val="24"/>
        </w:rPr>
        <w:t xml:space="preserve"> </w:t>
      </w:r>
    </w:p>
    <w:p w:rsidR="00510E9B" w:rsidRDefault="00137AE4" w:rsidP="00474EB8">
      <w:pPr>
        <w:pStyle w:val="ListParagraph"/>
        <w:numPr>
          <w:ilvl w:val="1"/>
          <w:numId w:val="5"/>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Campus Life </w:t>
      </w:r>
      <w:hyperlink r:id="rId11" w:history="1">
        <w:r w:rsidR="00474EB8" w:rsidRPr="00474EB8">
          <w:rPr>
            <w:rStyle w:val="Hyperlink"/>
            <w:rFonts w:ascii="Times New Roman" w:eastAsia="Times New Roman" w:hAnsi="Times New Roman" w:cs="Times New Roman"/>
            <w:sz w:val="24"/>
            <w:szCs w:val="24"/>
          </w:rPr>
          <w:t>Link to Contact Information</w:t>
        </w:r>
      </w:hyperlink>
    </w:p>
    <w:p w:rsidR="00137AE4" w:rsidRPr="00510E9B" w:rsidRDefault="00137AE4" w:rsidP="00510E9B">
      <w:pPr>
        <w:pStyle w:val="ListParagraph"/>
        <w:numPr>
          <w:ilvl w:val="1"/>
          <w:numId w:val="5"/>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Employee Assistance Program (EAP)</w:t>
      </w:r>
      <w:r w:rsidR="00D36A80">
        <w:rPr>
          <w:rFonts w:ascii="Times New Roman" w:eastAsia="Times New Roman" w:hAnsi="Times New Roman" w:cs="Times New Roman"/>
          <w:color w:val="000000"/>
          <w:sz w:val="24"/>
          <w:szCs w:val="24"/>
        </w:rPr>
        <w:t xml:space="preserve"> </w:t>
      </w:r>
      <w:r w:rsidRPr="00510E9B">
        <w:rPr>
          <w:rFonts w:ascii="Times New Roman" w:eastAsia="Times New Roman" w:hAnsi="Times New Roman" w:cs="Times New Roman"/>
          <w:color w:val="000000"/>
          <w:sz w:val="24"/>
          <w:szCs w:val="24"/>
        </w:rPr>
        <w:t>8</w:t>
      </w:r>
      <w:r w:rsidR="00D36A80">
        <w:rPr>
          <w:rFonts w:ascii="Times New Roman" w:eastAsia="Times New Roman" w:hAnsi="Times New Roman" w:cs="Times New Roman"/>
          <w:color w:val="000000"/>
          <w:sz w:val="24"/>
          <w:szCs w:val="24"/>
        </w:rPr>
        <w:t>55</w:t>
      </w:r>
      <w:r w:rsidRPr="00510E9B">
        <w:rPr>
          <w:rFonts w:ascii="Times New Roman" w:eastAsia="Times New Roman" w:hAnsi="Times New Roman" w:cs="Times New Roman"/>
          <w:color w:val="000000"/>
          <w:sz w:val="24"/>
          <w:szCs w:val="24"/>
        </w:rPr>
        <w:t>-</w:t>
      </w:r>
      <w:r w:rsidR="00D36A80">
        <w:rPr>
          <w:rFonts w:ascii="Times New Roman" w:eastAsia="Times New Roman" w:hAnsi="Times New Roman" w:cs="Times New Roman"/>
          <w:color w:val="000000"/>
          <w:sz w:val="24"/>
          <w:szCs w:val="24"/>
        </w:rPr>
        <w:t>327</w:t>
      </w:r>
      <w:r w:rsidRPr="00510E9B">
        <w:rPr>
          <w:rFonts w:ascii="Times New Roman" w:eastAsia="Times New Roman" w:hAnsi="Times New Roman" w:cs="Times New Roman"/>
          <w:color w:val="000000"/>
          <w:sz w:val="24"/>
          <w:szCs w:val="24"/>
        </w:rPr>
        <w:t>-</w:t>
      </w:r>
      <w:r w:rsidR="00D36A80">
        <w:rPr>
          <w:rFonts w:ascii="Times New Roman" w:eastAsia="Times New Roman" w:hAnsi="Times New Roman" w:cs="Times New Roman"/>
          <w:color w:val="000000"/>
          <w:sz w:val="24"/>
          <w:szCs w:val="24"/>
        </w:rPr>
        <w:t xml:space="preserve">4463 or </w:t>
      </w:r>
      <w:hyperlink r:id="rId12" w:history="1">
        <w:r w:rsidR="00D36A80" w:rsidRPr="008215BF">
          <w:rPr>
            <w:rStyle w:val="Hyperlink"/>
            <w:rFonts w:ascii="Times New Roman" w:eastAsia="Times New Roman" w:hAnsi="Times New Roman" w:cs="Times New Roman"/>
            <w:sz w:val="24"/>
            <w:szCs w:val="24"/>
          </w:rPr>
          <w:t>www.GuidanceResources.com</w:t>
        </w:r>
      </w:hyperlink>
      <w:r w:rsidR="00D36A80">
        <w:rPr>
          <w:rFonts w:ascii="Times New Roman" w:eastAsia="Times New Roman" w:hAnsi="Times New Roman" w:cs="Times New Roman"/>
          <w:color w:val="000000"/>
          <w:sz w:val="24"/>
          <w:szCs w:val="24"/>
        </w:rPr>
        <w:t xml:space="preserve"> </w:t>
      </w:r>
    </w:p>
    <w:p w:rsidR="00510E9B" w:rsidRDefault="00137AE4" w:rsidP="00510E9B">
      <w:pPr>
        <w:numPr>
          <w:ilvl w:val="0"/>
          <w:numId w:val="6"/>
        </w:numPr>
        <w:spacing w:after="0" w:line="240" w:lineRule="auto"/>
        <w:ind w:left="360"/>
        <w:textAlignment w:val="baseline"/>
        <w:rPr>
          <w:rFonts w:ascii="Calibri" w:eastAsia="Times New Roman" w:hAnsi="Calibri" w:cs="Calibri"/>
          <w:color w:val="000000"/>
          <w:sz w:val="24"/>
          <w:szCs w:val="24"/>
        </w:rPr>
      </w:pPr>
      <w:r w:rsidRPr="00137AE4">
        <w:rPr>
          <w:rFonts w:ascii="Times New Roman" w:eastAsia="Times New Roman" w:hAnsi="Times New Roman" w:cs="Times New Roman"/>
          <w:b/>
          <w:bCs/>
          <w:color w:val="000000"/>
          <w:sz w:val="24"/>
          <w:szCs w:val="24"/>
        </w:rPr>
        <w:t xml:space="preserve">Definition of a serious crime under the </w:t>
      </w:r>
      <w:proofErr w:type="spellStart"/>
      <w:r w:rsidRPr="00137AE4">
        <w:rPr>
          <w:rFonts w:ascii="Times New Roman" w:eastAsia="Times New Roman" w:hAnsi="Times New Roman" w:cs="Times New Roman"/>
          <w:b/>
          <w:bCs/>
          <w:color w:val="000000"/>
          <w:sz w:val="24"/>
          <w:szCs w:val="24"/>
        </w:rPr>
        <w:t>Clery</w:t>
      </w:r>
      <w:proofErr w:type="spellEnd"/>
      <w:r w:rsidRPr="00137AE4">
        <w:rPr>
          <w:rFonts w:ascii="Times New Roman" w:eastAsia="Times New Roman" w:hAnsi="Times New Roman" w:cs="Times New Roman"/>
          <w:b/>
          <w:bCs/>
          <w:color w:val="000000"/>
          <w:sz w:val="24"/>
          <w:szCs w:val="24"/>
        </w:rPr>
        <w:t xml:space="preserve"> Act</w:t>
      </w:r>
      <w:r w:rsidRPr="00137AE4">
        <w:rPr>
          <w:rFonts w:ascii="Times New Roman" w:eastAsia="Times New Roman" w:hAnsi="Times New Roman" w:cs="Times New Roman"/>
          <w:color w:val="000000"/>
          <w:sz w:val="24"/>
          <w:szCs w:val="24"/>
        </w:rPr>
        <w:t xml:space="preserve">. We encourage you to report all crimes, large and small so that we can help resolve the concern, and then make the determination of whether it is a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Reportable Crime.  But we also need you to be aware of the definitions of a serious crime under the </w:t>
      </w:r>
      <w:proofErr w:type="spellStart"/>
      <w:r w:rsidRPr="00137AE4">
        <w:rPr>
          <w:rFonts w:ascii="Times New Roman" w:eastAsia="Times New Roman" w:hAnsi="Times New Roman" w:cs="Times New Roman"/>
          <w:color w:val="000000"/>
          <w:sz w:val="24"/>
          <w:szCs w:val="24"/>
        </w:rPr>
        <w:t>Clery</w:t>
      </w:r>
      <w:proofErr w:type="spellEnd"/>
      <w:r w:rsidRPr="00137AE4">
        <w:rPr>
          <w:rFonts w:ascii="Times New Roman" w:eastAsia="Times New Roman" w:hAnsi="Times New Roman" w:cs="Times New Roman"/>
          <w:color w:val="000000"/>
          <w:sz w:val="24"/>
          <w:szCs w:val="24"/>
        </w:rPr>
        <w:t xml:space="preserve"> Act.  University employees are mandatory reporters for any of these crime types: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Murder &amp; Non-Negligent Manslaughter</w:t>
      </w:r>
      <w:r w:rsidRPr="00510E9B">
        <w:rPr>
          <w:rFonts w:ascii="Times New Roman" w:eastAsia="Times New Roman" w:hAnsi="Times New Roman" w:cs="Times New Roman"/>
          <w:color w:val="000000"/>
          <w:sz w:val="24"/>
          <w:szCs w:val="24"/>
        </w:rPr>
        <w:t xml:space="preserve">--The willful killing of one human being by another.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Negligent Manslaughter</w:t>
      </w:r>
      <w:r w:rsidRPr="00510E9B">
        <w:rPr>
          <w:rFonts w:ascii="Times New Roman" w:eastAsia="Times New Roman" w:hAnsi="Times New Roman" w:cs="Times New Roman"/>
          <w:color w:val="000000"/>
          <w:sz w:val="24"/>
          <w:szCs w:val="24"/>
        </w:rPr>
        <w:t>--The killing of another p</w:t>
      </w:r>
      <w:r w:rsidR="00510E9B">
        <w:rPr>
          <w:rFonts w:ascii="Times New Roman" w:eastAsia="Times New Roman" w:hAnsi="Times New Roman" w:cs="Times New Roman"/>
          <w:color w:val="000000"/>
          <w:sz w:val="24"/>
          <w:szCs w:val="24"/>
        </w:rPr>
        <w:t>erson through gross negligence.</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Robbery</w:t>
      </w:r>
      <w:r w:rsidRPr="00510E9B">
        <w:rPr>
          <w:rFonts w:ascii="Times New Roman" w:eastAsia="Times New Roman" w:hAnsi="Times New Roman" w:cs="Times New Roman"/>
          <w:color w:val="000000"/>
          <w:sz w:val="24"/>
          <w:szCs w:val="24"/>
        </w:rPr>
        <w:t xml:space="preserve">--The taking or attempting to take anything of value from the care, custody, or control of a person or persons by force or threat of force or violence and/or by putting the victim in fear.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Aggravated Assault</w:t>
      </w:r>
      <w:r w:rsidRPr="00510E9B">
        <w:rPr>
          <w:rFonts w:ascii="Times New Roman" w:eastAsia="Times New Roman" w:hAnsi="Times New Roman" w:cs="Times New Roman"/>
          <w:color w:val="000000"/>
          <w:sz w:val="24"/>
          <w:szCs w:val="24"/>
        </w:rPr>
        <w:t xml:space="preserve">--An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and probably would result in serious personal injury if the crime were successfully completed.)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Burglary</w:t>
      </w:r>
      <w:r w:rsidRPr="00510E9B">
        <w:rPr>
          <w:rFonts w:ascii="Times New Roman" w:eastAsia="Times New Roman" w:hAnsi="Times New Roman" w:cs="Times New Roman"/>
          <w:color w:val="000000"/>
          <w:sz w:val="24"/>
          <w:szCs w:val="24"/>
        </w:rPr>
        <w:t xml:space="preserve">--The unlawful entry of a structure to commit a felony or a theft. For reporting purposes this definition includes: unlawful entry with intent to commit a larceny or felony; breaking and entering with intent to commit a larceny; housebreaking; safecracking; and all attempts to commit any of the aforementioned.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Motor Vehicle Theft</w:t>
      </w:r>
      <w:r w:rsidRPr="00510E9B">
        <w:rPr>
          <w:rFonts w:ascii="Times New Roman" w:eastAsia="Times New Roman" w:hAnsi="Times New Roman" w:cs="Times New Roman"/>
          <w:color w:val="000000"/>
          <w:sz w:val="24"/>
          <w:szCs w:val="24"/>
        </w:rPr>
        <w:t xml:space="preserve">--The theft or attempted theft of a motor vehicle. (Classify as motor vehicle theft all cases where automobiles are taken by persons not having lawful access even though the vehicles are later abandoned, including joyriding.)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Arson</w:t>
      </w:r>
      <w:r w:rsidRPr="00510E9B">
        <w:rPr>
          <w:rFonts w:ascii="Times New Roman" w:eastAsia="Times New Roman" w:hAnsi="Times New Roman" w:cs="Times New Roman"/>
          <w:color w:val="000000"/>
          <w:sz w:val="24"/>
          <w:szCs w:val="24"/>
        </w:rPr>
        <w:t xml:space="preserve">--Any willful or malicious burning or attempt to burn, with or without intent to defraud, a dwelling house, public building, motor vehicle or aircraft, personal property of another, etc.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Arrests for Weapon Law Violations</w:t>
      </w:r>
      <w:r w:rsidRPr="00510E9B">
        <w:rPr>
          <w:rFonts w:ascii="Times New Roman" w:eastAsia="Times New Roman" w:hAnsi="Times New Roman" w:cs="Times New Roman"/>
          <w:color w:val="000000"/>
          <w:sz w:val="24"/>
          <w:szCs w:val="24"/>
        </w:rPr>
        <w:t xml:space="preserve">--The violation of laws or ordinances dealing with weapon offenses, regulatory in nature, such as: manufacture, sale, or possession of deadly weapons; carrying deadly weapons, concealed or openly; furnishing deadly weapons to minors; aliens possessing deadly weapons; and all attempts to commit any of the aforementioned.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Arrests for Drug Abuse Violations</w:t>
      </w:r>
      <w:r w:rsidRPr="00510E9B">
        <w:rPr>
          <w:rFonts w:ascii="Times New Roman" w:eastAsia="Times New Roman" w:hAnsi="Times New Roman" w:cs="Times New Roman"/>
          <w:color w:val="000000"/>
          <w:sz w:val="24"/>
          <w:szCs w:val="24"/>
        </w:rPr>
        <w:t>--</w:t>
      </w:r>
      <w:proofErr w:type="spellStart"/>
      <w:r w:rsidRPr="00510E9B">
        <w:rPr>
          <w:rFonts w:ascii="Times New Roman" w:eastAsia="Times New Roman" w:hAnsi="Times New Roman" w:cs="Times New Roman"/>
          <w:color w:val="000000"/>
          <w:sz w:val="24"/>
          <w:szCs w:val="24"/>
        </w:rPr>
        <w:t>Violations</w:t>
      </w:r>
      <w:proofErr w:type="spellEnd"/>
      <w:r w:rsidRPr="00510E9B">
        <w:rPr>
          <w:rFonts w:ascii="Times New Roman" w:eastAsia="Times New Roman" w:hAnsi="Times New Roman" w:cs="Times New Roman"/>
          <w:color w:val="000000"/>
          <w:sz w:val="24"/>
          <w:szCs w:val="24"/>
        </w:rPr>
        <w:t xml:space="preserve"> of State and local laws relating to the unlawful possession, sale, use, growing, manufacturing, and making of narcotic drugs. The relevant substances include: opium or cocaine and their derivatives (morphine, heroin, codeine); marijuana; synthetic narcotics (Demerol, </w:t>
      </w:r>
      <w:proofErr w:type="spellStart"/>
      <w:r w:rsidRPr="00510E9B">
        <w:rPr>
          <w:rFonts w:ascii="Times New Roman" w:eastAsia="Times New Roman" w:hAnsi="Times New Roman" w:cs="Times New Roman"/>
          <w:color w:val="000000"/>
          <w:sz w:val="24"/>
          <w:szCs w:val="24"/>
        </w:rPr>
        <w:t>methadones</w:t>
      </w:r>
      <w:proofErr w:type="spellEnd"/>
      <w:r w:rsidRPr="00510E9B">
        <w:rPr>
          <w:rFonts w:ascii="Times New Roman" w:eastAsia="Times New Roman" w:hAnsi="Times New Roman" w:cs="Times New Roman"/>
          <w:color w:val="000000"/>
          <w:sz w:val="24"/>
          <w:szCs w:val="24"/>
        </w:rPr>
        <w:t xml:space="preserve">); and dangerous </w:t>
      </w:r>
      <w:proofErr w:type="spellStart"/>
      <w:r w:rsidRPr="00510E9B">
        <w:rPr>
          <w:rFonts w:ascii="Times New Roman" w:eastAsia="Times New Roman" w:hAnsi="Times New Roman" w:cs="Times New Roman"/>
          <w:color w:val="000000"/>
          <w:sz w:val="24"/>
          <w:szCs w:val="24"/>
        </w:rPr>
        <w:t>non narcotic</w:t>
      </w:r>
      <w:proofErr w:type="spellEnd"/>
      <w:r w:rsidRPr="00510E9B">
        <w:rPr>
          <w:rFonts w:ascii="Times New Roman" w:eastAsia="Times New Roman" w:hAnsi="Times New Roman" w:cs="Times New Roman"/>
          <w:color w:val="000000"/>
          <w:sz w:val="24"/>
          <w:szCs w:val="24"/>
        </w:rPr>
        <w:t xml:space="preserve"> drugs (barbiturates, Benzedrine).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Arrests for Liquor Law Violations</w:t>
      </w:r>
      <w:r w:rsidRPr="00510E9B">
        <w:rPr>
          <w:rFonts w:ascii="Times New Roman" w:eastAsia="Times New Roman" w:hAnsi="Times New Roman" w:cs="Times New Roman"/>
          <w:color w:val="000000"/>
          <w:sz w:val="24"/>
          <w:szCs w:val="24"/>
        </w:rPr>
        <w:t xml:space="preserve">--The violation of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&amp; driving under the influence are not included in this definition.)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lastRenderedPageBreak/>
        <w:t>Disciplinary Referrals for Weapon Law Violations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Disciplinary Referrals for Drug Abuse Violations</w:t>
      </w:r>
      <w:r w:rsidRPr="00510E9B">
        <w:rPr>
          <w:rFonts w:ascii="Times New Roman" w:eastAsia="Times New Roman" w:hAnsi="Times New Roman" w:cs="Times New Roman"/>
          <w:color w:val="000000"/>
          <w:sz w:val="24"/>
          <w:szCs w:val="24"/>
        </w:rPr>
        <w:t xml:space="preserve">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 xml:space="preserve">Disciplinary Referrals for Liquor Law Violations </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Hate Crimes</w:t>
      </w:r>
      <w:r w:rsidRPr="00510E9B">
        <w:rPr>
          <w:rFonts w:ascii="Times New Roman" w:eastAsia="Times New Roman" w:hAnsi="Times New Roman" w:cs="Times New Roman"/>
          <w:color w:val="000000"/>
          <w:sz w:val="24"/>
          <w:szCs w:val="24"/>
        </w:rPr>
        <w:t>—Crimes motivated by the victim’s actual or perceived: race, gender, gender identity, religion, sexual orientation, ethnicity, national origin and disability.</w:t>
      </w:r>
    </w:p>
    <w:p w:rsidR="00510E9B" w:rsidRPr="00510E9B" w:rsidRDefault="00137AE4" w:rsidP="00510E9B">
      <w:pPr>
        <w:pStyle w:val="ListParagraph"/>
        <w:numPr>
          <w:ilvl w:val="0"/>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u w:val="single"/>
        </w:rPr>
        <w:t>Sex Offenses</w:t>
      </w:r>
      <w:r w:rsidRPr="00510E9B">
        <w:rPr>
          <w:rFonts w:ascii="Times New Roman" w:eastAsia="Times New Roman" w:hAnsi="Times New Roman" w:cs="Times New Roman"/>
          <w:color w:val="000000"/>
          <w:sz w:val="24"/>
          <w:szCs w:val="24"/>
        </w:rPr>
        <w:t xml:space="preserve">-- Any sexual act directed against another person without the consent of the victim, including instances where the victim is incapable of giving consent. </w:t>
      </w:r>
    </w:p>
    <w:p w:rsidR="00510E9B" w:rsidRPr="00510E9B" w:rsidRDefault="00137AE4" w:rsidP="00510E9B">
      <w:pPr>
        <w:pStyle w:val="ListParagraph"/>
        <w:numPr>
          <w:ilvl w:val="2"/>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rPr>
        <w:t xml:space="preserve">Rape: The penetration, no matter how slight, of the vagina or anus with any body part or object, or oral penetration by a sex organ of another person without the consent of the victim. </w:t>
      </w:r>
    </w:p>
    <w:p w:rsidR="00510E9B" w:rsidRPr="00510E9B" w:rsidRDefault="00137AE4" w:rsidP="00510E9B">
      <w:pPr>
        <w:pStyle w:val="ListParagraph"/>
        <w:numPr>
          <w:ilvl w:val="2"/>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rPr>
        <w:t xml:space="preserve">Fondling: The touching of the private body parts of another person for the purpose of sexual gratification, without the consent of the victim, including instances where the victim is incapable of giving consent because of his/her age or because of his/her temporary </w:t>
      </w:r>
      <w:proofErr w:type="spellStart"/>
      <w:r w:rsidRPr="00510E9B">
        <w:rPr>
          <w:rFonts w:ascii="Times New Roman" w:eastAsia="Times New Roman" w:hAnsi="Times New Roman" w:cs="Times New Roman"/>
          <w:color w:val="000000"/>
          <w:sz w:val="24"/>
          <w:szCs w:val="24"/>
        </w:rPr>
        <w:t>of</w:t>
      </w:r>
      <w:proofErr w:type="spellEnd"/>
      <w:r w:rsidRPr="00510E9B">
        <w:rPr>
          <w:rFonts w:ascii="Times New Roman" w:eastAsia="Times New Roman" w:hAnsi="Times New Roman" w:cs="Times New Roman"/>
          <w:color w:val="000000"/>
          <w:sz w:val="24"/>
          <w:szCs w:val="24"/>
        </w:rPr>
        <w:t xml:space="preserve"> permanent mental incapacity. </w:t>
      </w:r>
    </w:p>
    <w:p w:rsidR="00510E9B" w:rsidRPr="00510E9B" w:rsidRDefault="00137AE4" w:rsidP="00510E9B">
      <w:pPr>
        <w:pStyle w:val="ListParagraph"/>
        <w:numPr>
          <w:ilvl w:val="2"/>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rPr>
        <w:t xml:space="preserve">Incest: Sexual intercourse between persons who are related to each other within the degrees wherein marriage in prohibited by law. </w:t>
      </w:r>
    </w:p>
    <w:p w:rsidR="00137AE4" w:rsidRPr="00510E9B" w:rsidRDefault="00137AE4" w:rsidP="00510E9B">
      <w:pPr>
        <w:pStyle w:val="ListParagraph"/>
        <w:numPr>
          <w:ilvl w:val="2"/>
          <w:numId w:val="14"/>
        </w:numPr>
        <w:spacing w:after="0" w:line="240" w:lineRule="auto"/>
        <w:textAlignment w:val="baseline"/>
        <w:rPr>
          <w:rFonts w:ascii="Calibri" w:eastAsia="Times New Roman" w:hAnsi="Calibri" w:cs="Calibri"/>
          <w:color w:val="000000"/>
          <w:sz w:val="24"/>
          <w:szCs w:val="24"/>
        </w:rPr>
      </w:pPr>
      <w:r w:rsidRPr="00510E9B">
        <w:rPr>
          <w:rFonts w:ascii="Times New Roman" w:eastAsia="Times New Roman" w:hAnsi="Times New Roman" w:cs="Times New Roman"/>
          <w:color w:val="000000"/>
          <w:sz w:val="24"/>
          <w:szCs w:val="24"/>
        </w:rPr>
        <w:t xml:space="preserve">Statutory Rape: Sexual intercourse with a person who is under the statutory age of consent. </w:t>
      </w:r>
    </w:p>
    <w:p w:rsidR="00510E9B" w:rsidRDefault="00137AE4" w:rsidP="00510E9B">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u w:val="single"/>
        </w:rPr>
        <w:t>Domestic Violence</w:t>
      </w:r>
      <w:r w:rsidRPr="00510E9B">
        <w:rPr>
          <w:rFonts w:ascii="Times New Roman" w:eastAsia="Times New Roman" w:hAnsi="Times New Roman" w:cs="Times New Roman"/>
          <w:color w:val="000000"/>
          <w:sz w:val="24"/>
          <w:szCs w:val="24"/>
        </w:rPr>
        <w:t>--A felony or misdemeanor crime of violence committed:</w:t>
      </w:r>
    </w:p>
    <w:p w:rsid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By a current or former spouse or intimate partner of the victim; </w:t>
      </w:r>
    </w:p>
    <w:p w:rsid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By a person with whom the victim shares a child in common; </w:t>
      </w:r>
    </w:p>
    <w:p w:rsid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By a person who is cohabitating with, or has cohabitated with, the victim as a spouse or intimate partner; </w:t>
      </w:r>
    </w:p>
    <w:p w:rsid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By a person similarly situated to a spouse of the victim under the domestic or family violence laws of the jurisdiction in which the crime of violence occurred; or </w:t>
      </w:r>
    </w:p>
    <w:p w:rsidR="00137AE4" w:rsidRP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By any other person against an adult or youth victim who is protected from that person’s acts under the domestic or family violence laws of the jurisdiction in which the crime of violence occurred.</w:t>
      </w:r>
    </w:p>
    <w:p w:rsidR="00510E9B" w:rsidRDefault="00137AE4" w:rsidP="00510E9B">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u w:val="single"/>
        </w:rPr>
        <w:t>Dating Violence</w:t>
      </w:r>
      <w:r w:rsidRPr="00510E9B">
        <w:rPr>
          <w:rFonts w:ascii="Times New Roman" w:eastAsia="Times New Roman" w:hAnsi="Times New Roman" w:cs="Times New Roman"/>
          <w:color w:val="000000"/>
          <w:sz w:val="24"/>
          <w:szCs w:val="24"/>
        </w:rPr>
        <w:t xml:space="preserve">—Violence committed by a person who is or has been in a social relationship of a romantic or intimate nature with the victim. </w:t>
      </w:r>
    </w:p>
    <w:p w:rsidR="00510E9B" w:rsidRDefault="00137AE4" w:rsidP="00510E9B">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u w:val="single"/>
        </w:rPr>
        <w:t>Stalking</w:t>
      </w:r>
      <w:r w:rsidRPr="00510E9B">
        <w:rPr>
          <w:rFonts w:ascii="Times New Roman" w:eastAsia="Times New Roman" w:hAnsi="Times New Roman" w:cs="Times New Roman"/>
          <w:color w:val="000000"/>
          <w:sz w:val="24"/>
          <w:szCs w:val="24"/>
        </w:rPr>
        <w:t xml:space="preserve">-- Engaging in a course of conduct directed at a specific person that would cause a reasonable person to: </w:t>
      </w:r>
    </w:p>
    <w:p w:rsid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Fear for the person’s safety or the safety of others; or </w:t>
      </w:r>
    </w:p>
    <w:p w:rsidR="00137AE4" w:rsidRPr="00510E9B" w:rsidRDefault="00137AE4" w:rsidP="00510E9B">
      <w:pPr>
        <w:pStyle w:val="ListParagraph"/>
        <w:numPr>
          <w:ilvl w:val="2"/>
          <w:numId w:val="14"/>
        </w:numPr>
        <w:spacing w:after="0" w:line="240" w:lineRule="auto"/>
        <w:textAlignment w:val="baseline"/>
        <w:rPr>
          <w:rFonts w:ascii="Times New Roman" w:eastAsia="Times New Roman" w:hAnsi="Times New Roman" w:cs="Times New Roman"/>
          <w:color w:val="000000"/>
          <w:sz w:val="24"/>
          <w:szCs w:val="24"/>
        </w:rPr>
      </w:pPr>
      <w:r w:rsidRPr="00510E9B">
        <w:rPr>
          <w:rFonts w:ascii="Times New Roman" w:eastAsia="Times New Roman" w:hAnsi="Times New Roman" w:cs="Times New Roman"/>
          <w:color w:val="000000"/>
          <w:sz w:val="24"/>
          <w:szCs w:val="24"/>
        </w:rPr>
        <w:t xml:space="preserve">Suffer substantial emotional distress. </w:t>
      </w:r>
    </w:p>
    <w:p w:rsidR="00510E9B" w:rsidRDefault="00137AE4" w:rsidP="00137AE4">
      <w:pPr>
        <w:spacing w:after="0" w:line="240" w:lineRule="auto"/>
        <w:ind w:left="720"/>
        <w:rPr>
          <w:rFonts w:ascii="Times New Roman" w:eastAsia="Times New Roman" w:hAnsi="Times New Roman" w:cs="Times New Roman"/>
          <w:color w:val="000000"/>
          <w:sz w:val="20"/>
          <w:szCs w:val="20"/>
        </w:rPr>
      </w:pPr>
      <w:r w:rsidRPr="00137AE4">
        <w:rPr>
          <w:rFonts w:ascii="Times New Roman" w:eastAsia="Times New Roman" w:hAnsi="Times New Roman" w:cs="Times New Roman"/>
          <w:color w:val="000000"/>
          <w:sz w:val="20"/>
          <w:szCs w:val="20"/>
        </w:rPr>
        <w:t xml:space="preserve"> </w:t>
      </w:r>
    </w:p>
    <w:p w:rsidR="00137AE4" w:rsidRPr="00137AE4" w:rsidRDefault="00137AE4" w:rsidP="00137AE4">
      <w:pPr>
        <w:spacing w:after="0" w:line="240" w:lineRule="auto"/>
        <w:ind w:left="720"/>
        <w:rPr>
          <w:rFonts w:ascii="Times New Roman" w:eastAsia="Times New Roman" w:hAnsi="Times New Roman" w:cs="Times New Roman"/>
          <w:sz w:val="24"/>
          <w:szCs w:val="24"/>
        </w:rPr>
      </w:pPr>
      <w:r w:rsidRPr="00137AE4">
        <w:rPr>
          <w:rFonts w:ascii="Times New Roman" w:eastAsia="Times New Roman" w:hAnsi="Times New Roman" w:cs="Times New Roman"/>
          <w:color w:val="000000"/>
          <w:sz w:val="20"/>
          <w:szCs w:val="20"/>
        </w:rPr>
        <w:t>34 C.F.R. Part 668, Appendix E to Part 668.47.</w:t>
      </w:r>
    </w:p>
    <w:p w:rsidR="004921F7" w:rsidRDefault="004921F7"/>
    <w:sectPr w:rsidR="004921F7" w:rsidSect="00FC2712">
      <w:pgSz w:w="12240" w:h="15840"/>
      <w:pgMar w:top="2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A8"/>
    <w:multiLevelType w:val="hybridMultilevel"/>
    <w:tmpl w:val="C03EBF9E"/>
    <w:lvl w:ilvl="0" w:tplc="C1D4544E">
      <w:start w:val="1"/>
      <w:numFmt w:val="low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3617AD"/>
    <w:multiLevelType w:val="hybridMultilevel"/>
    <w:tmpl w:val="A6FCB2B6"/>
    <w:lvl w:ilvl="0" w:tplc="02ACF95A">
      <w:start w:val="1"/>
      <w:numFmt w:val="low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F5360A"/>
    <w:multiLevelType w:val="hybridMultilevel"/>
    <w:tmpl w:val="9AE2548C"/>
    <w:lvl w:ilvl="0" w:tplc="04090019">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F4895"/>
    <w:multiLevelType w:val="multilevel"/>
    <w:tmpl w:val="0894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567D0"/>
    <w:multiLevelType w:val="hybridMultilevel"/>
    <w:tmpl w:val="264463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lvlOverride w:ilvl="1">
      <w:lvl w:ilvl="1">
        <w:numFmt w:val="lowerLetter"/>
        <w:lvlText w:val="%2."/>
        <w:lvlJc w:val="left"/>
      </w:lvl>
    </w:lvlOverride>
  </w:num>
  <w:num w:numId="3">
    <w:abstractNumId w:val="3"/>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3"/>
    <w:lvlOverride w:ilvl="1">
      <w:lvl w:ilvl="1">
        <w:numFmt w:val="lowerLetter"/>
        <w:lvlText w:val="%2."/>
        <w:lvlJc w:val="left"/>
      </w:lvl>
    </w:lvlOverride>
    <w:lvlOverride w:ilvl="2">
      <w:lvl w:ilvl="2">
        <w:numFmt w:val="lowerRoman"/>
        <w:lvlText w:val="%3."/>
        <w:lvlJc w:val="right"/>
      </w:lvl>
    </w:lvlOverride>
  </w:num>
  <w:num w:numId="5">
    <w:abstractNumId w:val="3"/>
    <w:lvlOverride w:ilvl="1">
      <w:lvl w:ilvl="1">
        <w:start w:val="1"/>
        <w:numFmt w:val="lowerLetter"/>
        <w:lvlText w:val="%2."/>
        <w:lvlJc w:val="left"/>
        <w:rPr>
          <w:rFonts w:ascii="Times New Roman" w:eastAsia="Times New Roman" w:hAnsi="Times New Roman" w:cs="Times New Roman"/>
        </w:rPr>
      </w:lvl>
    </w:lvlOverride>
    <w:lvlOverride w:ilvl="2">
      <w:lvl w:ilvl="2">
        <w:numFmt w:val="lowerRoman"/>
        <w:lvlText w:val="%3."/>
        <w:lvlJc w:val="right"/>
      </w:lvl>
    </w:lvlOverride>
  </w:num>
  <w:num w:numId="6">
    <w:abstractNumId w:val="3"/>
    <w:lvlOverride w:ilvl="1">
      <w:lvl w:ilvl="1">
        <w:numFmt w:val="lowerLetter"/>
        <w:lvlText w:val="%2."/>
        <w:lvlJc w:val="left"/>
      </w:lvl>
    </w:lvlOverride>
    <w:lvlOverride w:ilvl="2">
      <w:lvl w:ilvl="2">
        <w:numFmt w:val="lowerRoman"/>
        <w:lvlText w:val="%3."/>
        <w:lvlJc w:val="right"/>
      </w:lvl>
    </w:lvlOverride>
  </w:num>
  <w:num w:numId="7">
    <w:abstractNumId w:val="3"/>
    <w:lvlOverride w:ilvl="1">
      <w:lvl w:ilvl="1">
        <w:numFmt w:val="lowerLetter"/>
        <w:lvlText w:val="%2."/>
        <w:lvlJc w:val="left"/>
      </w:lvl>
    </w:lvlOverride>
    <w:lvlOverride w:ilvl="2">
      <w:lvl w:ilvl="2">
        <w:numFmt w:val="lowerRoman"/>
        <w:lvlText w:val="%3."/>
        <w:lvlJc w:val="right"/>
      </w:lvl>
    </w:lvlOverride>
  </w:num>
  <w:num w:numId="8">
    <w:abstractNumId w:val="3"/>
    <w:lvlOverride w:ilvl="1">
      <w:lvl w:ilvl="1">
        <w:numFmt w:val="lowerLetter"/>
        <w:lvlText w:val="%2."/>
        <w:lvlJc w:val="left"/>
      </w:lvl>
    </w:lvlOverride>
    <w:lvlOverride w:ilvl="2">
      <w:lvl w:ilvl="2">
        <w:numFmt w:val="lowerRoman"/>
        <w:lvlText w:val="%3."/>
        <w:lvlJc w:val="right"/>
      </w:lvl>
    </w:lvlOverride>
  </w:num>
  <w:num w:numId="9">
    <w:abstractNumId w:val="3"/>
    <w:lvlOverride w:ilvl="1">
      <w:lvl w:ilvl="1">
        <w:numFmt w:val="lowerLetter"/>
        <w:lvlText w:val="%2."/>
        <w:lvlJc w:val="left"/>
      </w:lvl>
    </w:lvlOverride>
    <w:lvlOverride w:ilvl="2">
      <w:lvl w:ilvl="2">
        <w:numFmt w:val="lowerRoman"/>
        <w:lvlText w:val="%3."/>
        <w:lvlJc w:val="right"/>
      </w:lvl>
    </w:lvlOverride>
  </w:num>
  <w:num w:numId="10">
    <w:abstractNumId w:val="3"/>
    <w:lvlOverride w:ilvl="1">
      <w:lvl w:ilvl="1">
        <w:numFmt w:val="lowerLetter"/>
        <w:lvlText w:val="%2."/>
        <w:lvlJc w:val="left"/>
      </w:lvl>
    </w:lvlOverride>
    <w:lvlOverride w:ilvl="2">
      <w:lvl w:ilvl="2">
        <w:numFmt w:val="lowerRoman"/>
        <w:lvlText w:val="%3."/>
        <w:lvlJc w:val="right"/>
      </w:lvl>
    </w:lvlOverride>
  </w:num>
  <w:num w:numId="11">
    <w:abstractNumId w:val="2"/>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E4"/>
    <w:rsid w:val="00137AE4"/>
    <w:rsid w:val="003C6D53"/>
    <w:rsid w:val="00474EB8"/>
    <w:rsid w:val="004921F7"/>
    <w:rsid w:val="00510E9B"/>
    <w:rsid w:val="00522A47"/>
    <w:rsid w:val="00895452"/>
    <w:rsid w:val="00A17CF0"/>
    <w:rsid w:val="00AE7AD5"/>
    <w:rsid w:val="00BF5766"/>
    <w:rsid w:val="00D36A80"/>
    <w:rsid w:val="00FC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F543-985B-459C-802E-57C71312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7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7AE4"/>
    <w:rPr>
      <w:color w:val="0000FF"/>
      <w:u w:val="single"/>
    </w:rPr>
  </w:style>
  <w:style w:type="paragraph" w:styleId="ListParagraph">
    <w:name w:val="List Paragraph"/>
    <w:basedOn w:val="Normal"/>
    <w:uiPriority w:val="34"/>
    <w:qFormat/>
    <w:rsid w:val="00137AE4"/>
    <w:pPr>
      <w:ind w:left="720"/>
      <w:contextualSpacing/>
    </w:pPr>
  </w:style>
  <w:style w:type="paragraph" w:styleId="BalloonText">
    <w:name w:val="Balloon Text"/>
    <w:basedOn w:val="Normal"/>
    <w:link w:val="BalloonTextChar"/>
    <w:uiPriority w:val="99"/>
    <w:semiHidden/>
    <w:unhideWhenUsed/>
    <w:rsid w:val="003C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53"/>
    <w:rPr>
      <w:rFonts w:ascii="Segoe UI" w:hAnsi="Segoe UI" w:cs="Segoe UI"/>
      <w:sz w:val="18"/>
      <w:szCs w:val="18"/>
    </w:rPr>
  </w:style>
  <w:style w:type="character" w:styleId="FollowedHyperlink">
    <w:name w:val="FollowedHyperlink"/>
    <w:basedOn w:val="DefaultParagraphFont"/>
    <w:uiPriority w:val="99"/>
    <w:semiHidden/>
    <w:unhideWhenUsed/>
    <w:rsid w:val="00474EB8"/>
    <w:rPr>
      <w:color w:val="954F72" w:themeColor="followedHyperlink"/>
      <w:u w:val="single"/>
    </w:rPr>
  </w:style>
  <w:style w:type="character" w:styleId="Strong">
    <w:name w:val="Strong"/>
    <w:basedOn w:val="DefaultParagraphFont"/>
    <w:uiPriority w:val="22"/>
    <w:qFormat/>
    <w:rsid w:val="00522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55999">
      <w:bodyDiv w:val="1"/>
      <w:marLeft w:val="0"/>
      <w:marRight w:val="0"/>
      <w:marTop w:val="0"/>
      <w:marBottom w:val="0"/>
      <w:divBdr>
        <w:top w:val="none" w:sz="0" w:space="0" w:color="auto"/>
        <w:left w:val="none" w:sz="0" w:space="0" w:color="auto"/>
        <w:bottom w:val="none" w:sz="0" w:space="0" w:color="auto"/>
        <w:right w:val="none" w:sz="0" w:space="0" w:color="auto"/>
      </w:divBdr>
    </w:div>
    <w:div w:id="20628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enport.edu/campus-life/issue-resolution/facultysta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venport.edu/campus-life/issue-resolution/facultystaff" TargetMode="External"/><Relationship Id="rId12" Type="http://schemas.openxmlformats.org/officeDocument/2006/relationships/hyperlink" Target="http://www.GuidanceResour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venport.edu/campus-life/issue-resolution/facultystaff" TargetMode="External"/><Relationship Id="rId11" Type="http://schemas.openxmlformats.org/officeDocument/2006/relationships/hyperlink" Target="http://my.davenport.edu/campus-life/contact-us%20" TargetMode="External"/><Relationship Id="rId5" Type="http://schemas.openxmlformats.org/officeDocument/2006/relationships/image" Target="media/image1.gif"/><Relationship Id="rId10" Type="http://schemas.openxmlformats.org/officeDocument/2006/relationships/hyperlink" Target="https://my.davenport.edu/aud-seg/19339" TargetMode="External"/><Relationship Id="rId4" Type="http://schemas.openxmlformats.org/officeDocument/2006/relationships/webSettings" Target="webSettings.xml"/><Relationship Id="rId9" Type="http://schemas.openxmlformats.org/officeDocument/2006/relationships/hyperlink" Target="http://my.davenport.edu/campus-life/title-ix/coordinator-and-contact-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2110</Words>
  <Characters>10069</Characters>
  <Application>Microsoft Office Word</Application>
  <DocSecurity>0</DocSecurity>
  <Lines>209</Lines>
  <Paragraphs>114</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Elliott</dc:creator>
  <cp:keywords/>
  <dc:description/>
  <cp:lastModifiedBy>Leslie Elliott</cp:lastModifiedBy>
  <cp:revision>2</cp:revision>
  <cp:lastPrinted>2019-04-10T21:11:00Z</cp:lastPrinted>
  <dcterms:created xsi:type="dcterms:W3CDTF">2020-08-13T11:56:00Z</dcterms:created>
  <dcterms:modified xsi:type="dcterms:W3CDTF">2020-08-13T11:56:00Z</dcterms:modified>
</cp:coreProperties>
</file>